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韩玉龙</w:t>
      </w:r>
      <w:r>
        <w:rPr>
          <w:rFonts w:hint="eastAsia"/>
          <w:sz w:val="15"/>
          <w:szCs w:val="15"/>
          <w:highlight w:val="none"/>
        </w:rPr>
        <w:t>，</w:t>
      </w:r>
      <w:r>
        <w:rPr>
          <w:rFonts w:hint="eastAsia"/>
          <w:sz w:val="15"/>
          <w:szCs w:val="15"/>
          <w:highlight w:val="none"/>
          <w:lang w:val="en-US" w:eastAsia="zh-CN"/>
        </w:rPr>
        <w:t>130131199008062418</w:t>
      </w:r>
      <w:r>
        <w:rPr>
          <w:rFonts w:hint="eastAsia"/>
          <w:sz w:val="15"/>
          <w:szCs w:val="15"/>
        </w:rPr>
        <w:t xml:space="preserve">  </w:t>
      </w:r>
      <w:r>
        <w:rPr>
          <w:rFonts w:hint="eastAsia"/>
          <w:sz w:val="15"/>
          <w:szCs w:val="15"/>
          <w:lang w:val="en-US" w:eastAsia="zh-CN"/>
        </w:rPr>
        <w:t>冀A47481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