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2215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李新杰</w:t>
      </w:r>
      <w:r>
        <w:rPr>
          <w:rFonts w:hint="eastAsia"/>
          <w:sz w:val="15"/>
          <w:szCs w:val="15"/>
          <w:highlight w:val="none"/>
        </w:rPr>
        <w:t>，</w:t>
      </w:r>
      <w:r>
        <w:rPr>
          <w:rFonts w:hint="eastAsia"/>
          <w:sz w:val="15"/>
          <w:szCs w:val="15"/>
          <w:highlight w:val="none"/>
          <w:lang w:val="en-US" w:eastAsia="zh-CN"/>
        </w:rPr>
        <w:t>130126198803060336</w:t>
      </w:r>
      <w:r>
        <w:rPr>
          <w:rFonts w:hint="eastAsia"/>
          <w:sz w:val="15"/>
          <w:szCs w:val="15"/>
        </w:rPr>
        <w:t xml:space="preserve">  </w:t>
      </w:r>
      <w:r>
        <w:rPr>
          <w:rFonts w:hint="eastAsia"/>
          <w:sz w:val="15"/>
          <w:szCs w:val="15"/>
          <w:lang w:val="en-US" w:eastAsia="zh-CN"/>
        </w:rPr>
        <w:t>冀A91J25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