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任金龙</w:t>
      </w:r>
      <w:r>
        <w:rPr>
          <w:rFonts w:hint="eastAsia"/>
          <w:sz w:val="15"/>
          <w:szCs w:val="15"/>
          <w:highlight w:val="none"/>
        </w:rPr>
        <w:t>，</w:t>
      </w:r>
      <w:r>
        <w:rPr>
          <w:rFonts w:hint="eastAsia"/>
          <w:sz w:val="15"/>
          <w:szCs w:val="15"/>
          <w:highlight w:val="none"/>
          <w:lang w:val="en-US" w:eastAsia="zh-CN"/>
        </w:rPr>
        <w:t>132335197801210876</w:t>
      </w:r>
      <w:r>
        <w:rPr>
          <w:rFonts w:hint="eastAsia"/>
          <w:sz w:val="15"/>
          <w:szCs w:val="15"/>
        </w:rPr>
        <w:t xml:space="preserve">  </w:t>
      </w:r>
      <w:r>
        <w:rPr>
          <w:rFonts w:hint="eastAsia"/>
          <w:sz w:val="15"/>
          <w:szCs w:val="15"/>
          <w:lang w:val="en-US" w:eastAsia="zh-CN"/>
        </w:rPr>
        <w:t>沪A98729D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