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王彦龙</w:t>
      </w:r>
      <w:r>
        <w:rPr>
          <w:rFonts w:hint="eastAsia"/>
          <w:sz w:val="15"/>
          <w:szCs w:val="15"/>
          <w:highlight w:val="none"/>
        </w:rPr>
        <w:t>，</w:t>
      </w:r>
      <w:r>
        <w:rPr>
          <w:rFonts w:hint="eastAsia"/>
          <w:sz w:val="15"/>
          <w:szCs w:val="15"/>
          <w:highlight w:val="none"/>
          <w:lang w:val="en-US" w:eastAsia="zh-CN"/>
        </w:rPr>
        <w:t>130131198704260616</w:t>
      </w:r>
      <w:r>
        <w:rPr>
          <w:rFonts w:hint="eastAsia"/>
          <w:sz w:val="15"/>
          <w:szCs w:val="15"/>
        </w:rPr>
        <w:t xml:space="preserve">  </w:t>
      </w:r>
      <w:r>
        <w:rPr>
          <w:rFonts w:hint="eastAsia"/>
          <w:sz w:val="15"/>
          <w:szCs w:val="15"/>
          <w:lang w:val="en-US" w:eastAsia="zh-CN"/>
        </w:rPr>
        <w:t>冀A1809W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