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刘建堂</w:t>
      </w:r>
      <w:r>
        <w:rPr>
          <w:rFonts w:hint="eastAsia"/>
          <w:sz w:val="15"/>
          <w:szCs w:val="15"/>
          <w:highlight w:val="none"/>
        </w:rPr>
        <w:t>，</w:t>
      </w:r>
      <w:r>
        <w:rPr>
          <w:rFonts w:hint="eastAsia"/>
          <w:sz w:val="15"/>
          <w:szCs w:val="15"/>
          <w:highlight w:val="none"/>
          <w:lang w:val="en-US" w:eastAsia="zh-CN"/>
        </w:rPr>
        <w:t>132335196903150339</w:t>
      </w:r>
      <w:r>
        <w:rPr>
          <w:rFonts w:hint="eastAsia"/>
          <w:sz w:val="15"/>
          <w:szCs w:val="15"/>
        </w:rPr>
        <w:t xml:space="preserve">  </w:t>
      </w:r>
      <w:r>
        <w:rPr>
          <w:rFonts w:hint="eastAsia"/>
          <w:sz w:val="15"/>
          <w:szCs w:val="15"/>
          <w:lang w:val="en-US" w:eastAsia="zh-CN"/>
        </w:rPr>
        <w:t>冀A05761D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