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冯桂玲</w:t>
      </w:r>
      <w:r>
        <w:rPr>
          <w:rFonts w:hint="eastAsia"/>
          <w:sz w:val="15"/>
          <w:szCs w:val="15"/>
          <w:highlight w:val="none"/>
        </w:rPr>
        <w:t>，</w:t>
      </w:r>
      <w:r>
        <w:rPr>
          <w:rFonts w:hint="eastAsia"/>
          <w:sz w:val="15"/>
          <w:szCs w:val="15"/>
          <w:highlight w:val="none"/>
          <w:lang w:val="en-US" w:eastAsia="zh-CN"/>
        </w:rPr>
        <w:t>130425198308091821</w:t>
      </w:r>
      <w:r>
        <w:rPr>
          <w:rFonts w:hint="eastAsia"/>
          <w:sz w:val="15"/>
          <w:szCs w:val="15"/>
        </w:rPr>
        <w:t xml:space="preserve">  </w:t>
      </w:r>
      <w:r>
        <w:rPr>
          <w:rFonts w:hint="eastAsia"/>
          <w:sz w:val="15"/>
          <w:szCs w:val="15"/>
          <w:lang w:val="en-US" w:eastAsia="zh-CN"/>
        </w:rPr>
        <w:t>冀D08749D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