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孙娟娟</w:t>
      </w:r>
      <w:r>
        <w:rPr>
          <w:rFonts w:hint="eastAsia"/>
          <w:sz w:val="15"/>
          <w:szCs w:val="15"/>
          <w:highlight w:val="none"/>
        </w:rPr>
        <w:t>，</w:t>
      </w:r>
      <w:r>
        <w:rPr>
          <w:rFonts w:hint="eastAsia"/>
          <w:sz w:val="15"/>
          <w:szCs w:val="15"/>
          <w:highlight w:val="none"/>
          <w:lang w:val="en-US" w:eastAsia="zh-CN"/>
        </w:rPr>
        <w:t>140121199504240841</w:t>
      </w:r>
      <w:r>
        <w:rPr>
          <w:rFonts w:hint="eastAsia"/>
          <w:sz w:val="15"/>
          <w:szCs w:val="15"/>
        </w:rPr>
        <w:t xml:space="preserve">  </w:t>
      </w:r>
      <w:r>
        <w:rPr>
          <w:rFonts w:hint="eastAsia"/>
          <w:sz w:val="15"/>
          <w:szCs w:val="15"/>
          <w:lang w:val="en-US" w:eastAsia="zh-CN"/>
        </w:rPr>
        <w:t>晋A00384D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