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卢刚</w:t>
      </w:r>
      <w:r>
        <w:rPr>
          <w:rFonts w:hint="eastAsia"/>
          <w:sz w:val="15"/>
          <w:szCs w:val="15"/>
          <w:highlight w:val="none"/>
        </w:rPr>
        <w:t>，</w:t>
      </w:r>
      <w:r>
        <w:rPr>
          <w:rFonts w:hint="eastAsia"/>
          <w:sz w:val="15"/>
          <w:szCs w:val="15"/>
          <w:highlight w:val="none"/>
          <w:lang w:val="en-US" w:eastAsia="zh-CN"/>
        </w:rPr>
        <w:t>130524198512243510</w:t>
      </w:r>
      <w:r>
        <w:rPr>
          <w:rFonts w:hint="eastAsia"/>
          <w:sz w:val="15"/>
          <w:szCs w:val="15"/>
        </w:rPr>
        <w:t xml:space="preserve">  </w:t>
      </w:r>
      <w:r>
        <w:rPr>
          <w:rFonts w:hint="eastAsia"/>
          <w:sz w:val="15"/>
          <w:szCs w:val="15"/>
          <w:lang w:val="en-US" w:eastAsia="zh-CN"/>
        </w:rPr>
        <w:t>冀A82368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