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2145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连英涛</w:t>
      </w:r>
      <w:r>
        <w:rPr>
          <w:rFonts w:hint="eastAsia"/>
          <w:sz w:val="15"/>
          <w:szCs w:val="15"/>
          <w:highlight w:val="none"/>
        </w:rPr>
        <w:t>，</w:t>
      </w:r>
      <w:r>
        <w:rPr>
          <w:rFonts w:hint="eastAsia"/>
          <w:sz w:val="15"/>
          <w:szCs w:val="15"/>
          <w:highlight w:val="none"/>
          <w:lang w:val="en-US" w:eastAsia="zh-CN"/>
        </w:rPr>
        <w:t>130524197704025011</w:t>
      </w:r>
      <w:r>
        <w:rPr>
          <w:rFonts w:hint="eastAsia"/>
          <w:sz w:val="15"/>
          <w:szCs w:val="15"/>
        </w:rPr>
        <w:t xml:space="preserve">  </w:t>
      </w:r>
      <w:r>
        <w:rPr>
          <w:rFonts w:hint="eastAsia"/>
          <w:sz w:val="15"/>
          <w:szCs w:val="15"/>
          <w:lang w:val="en-US" w:eastAsia="zh-CN"/>
        </w:rPr>
        <w:t>冀AJ3086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