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韩晓威</w:t>
      </w:r>
      <w:r>
        <w:rPr>
          <w:rFonts w:hint="eastAsia"/>
          <w:sz w:val="15"/>
          <w:szCs w:val="15"/>
          <w:highlight w:val="none"/>
        </w:rPr>
        <w:t>，</w:t>
      </w:r>
      <w:r>
        <w:rPr>
          <w:rFonts w:hint="eastAsia"/>
          <w:sz w:val="15"/>
          <w:szCs w:val="15"/>
          <w:highlight w:val="none"/>
          <w:lang w:val="en-US" w:eastAsia="zh-CN"/>
        </w:rPr>
        <w:t>130524198209175033</w:t>
      </w:r>
      <w:r>
        <w:rPr>
          <w:rFonts w:hint="eastAsia"/>
          <w:sz w:val="15"/>
          <w:szCs w:val="15"/>
        </w:rPr>
        <w:t xml:space="preserve">  </w:t>
      </w:r>
      <w:r>
        <w:rPr>
          <w:rFonts w:hint="eastAsia"/>
          <w:sz w:val="15"/>
          <w:szCs w:val="15"/>
          <w:lang w:val="en-US" w:eastAsia="zh-CN"/>
        </w:rPr>
        <w:t>冀AKG118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