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滑利江</w:t>
      </w:r>
      <w:r>
        <w:rPr>
          <w:rFonts w:hint="eastAsia"/>
          <w:sz w:val="15"/>
          <w:szCs w:val="15"/>
          <w:highlight w:val="none"/>
        </w:rPr>
        <w:t>，</w:t>
      </w:r>
      <w:r>
        <w:rPr>
          <w:rFonts w:hint="eastAsia"/>
          <w:sz w:val="15"/>
          <w:szCs w:val="15"/>
          <w:highlight w:val="none"/>
          <w:lang w:val="en-US" w:eastAsia="zh-CN"/>
        </w:rPr>
        <w:t>130524197807024038</w:t>
      </w:r>
      <w:r>
        <w:rPr>
          <w:rFonts w:hint="eastAsia"/>
          <w:sz w:val="15"/>
          <w:szCs w:val="15"/>
        </w:rPr>
        <w:t xml:space="preserve">  </w:t>
      </w:r>
      <w:r>
        <w:rPr>
          <w:rFonts w:hint="eastAsia"/>
          <w:sz w:val="15"/>
          <w:szCs w:val="15"/>
          <w:lang w:val="en-US" w:eastAsia="zh-CN"/>
        </w:rPr>
        <w:t>冀A1280H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