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连立超</w:t>
      </w:r>
      <w:r>
        <w:rPr>
          <w:rFonts w:hint="eastAsia"/>
          <w:sz w:val="15"/>
          <w:szCs w:val="15"/>
          <w:highlight w:val="none"/>
        </w:rPr>
        <w:t>，</w:t>
      </w:r>
      <w:r>
        <w:rPr>
          <w:rFonts w:hint="eastAsia"/>
          <w:sz w:val="15"/>
          <w:szCs w:val="15"/>
          <w:highlight w:val="none"/>
          <w:lang w:val="en-US" w:eastAsia="zh-CN"/>
        </w:rPr>
        <w:t>130524198008225014</w:t>
      </w:r>
      <w:r>
        <w:rPr>
          <w:rFonts w:hint="eastAsia"/>
          <w:sz w:val="15"/>
          <w:szCs w:val="15"/>
        </w:rPr>
        <w:t xml:space="preserve">  </w:t>
      </w:r>
      <w:r>
        <w:rPr>
          <w:rFonts w:hint="eastAsia"/>
          <w:sz w:val="15"/>
          <w:szCs w:val="15"/>
          <w:lang w:val="en-US" w:eastAsia="zh-CN"/>
        </w:rPr>
        <w:t>冀AP5651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