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贾永刚</w:t>
      </w:r>
      <w:r>
        <w:rPr>
          <w:rFonts w:hint="eastAsia"/>
          <w:sz w:val="15"/>
          <w:szCs w:val="15"/>
          <w:highlight w:val="none"/>
        </w:rPr>
        <w:t>，</w:t>
      </w:r>
      <w:r>
        <w:rPr>
          <w:rFonts w:hint="eastAsia"/>
          <w:sz w:val="15"/>
          <w:szCs w:val="15"/>
          <w:highlight w:val="none"/>
          <w:lang w:val="en-US" w:eastAsia="zh-CN"/>
        </w:rPr>
        <w:t>140121197811177038</w:t>
      </w:r>
      <w:r>
        <w:rPr>
          <w:rFonts w:hint="eastAsia"/>
          <w:sz w:val="15"/>
          <w:szCs w:val="15"/>
        </w:rPr>
        <w:t xml:space="preserve">  </w:t>
      </w:r>
      <w:r>
        <w:rPr>
          <w:rFonts w:hint="eastAsia"/>
          <w:sz w:val="15"/>
          <w:szCs w:val="15"/>
          <w:lang w:val="en-US" w:eastAsia="zh-CN"/>
        </w:rPr>
        <w:t>晋AQ1771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