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郝彦霞</w:t>
      </w:r>
      <w:r>
        <w:rPr>
          <w:rFonts w:hint="eastAsia"/>
          <w:sz w:val="15"/>
          <w:szCs w:val="15"/>
          <w:highlight w:val="none"/>
        </w:rPr>
        <w:t>，</w:t>
      </w:r>
      <w:r>
        <w:rPr>
          <w:rFonts w:hint="eastAsia"/>
          <w:sz w:val="15"/>
          <w:szCs w:val="15"/>
          <w:highlight w:val="none"/>
          <w:lang w:val="en-US" w:eastAsia="zh-CN"/>
        </w:rPr>
        <w:t>130131198411290061</w:t>
      </w:r>
      <w:r>
        <w:rPr>
          <w:rFonts w:hint="eastAsia"/>
          <w:sz w:val="15"/>
          <w:szCs w:val="15"/>
        </w:rPr>
        <w:t xml:space="preserve">  </w:t>
      </w:r>
      <w:r>
        <w:rPr>
          <w:rFonts w:hint="eastAsia"/>
          <w:sz w:val="15"/>
          <w:szCs w:val="15"/>
          <w:lang w:val="en-US" w:eastAsia="zh-CN"/>
        </w:rPr>
        <w:t>沪A91971D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