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王兵合</w:t>
      </w:r>
      <w:r>
        <w:rPr>
          <w:rFonts w:hint="eastAsia"/>
          <w:sz w:val="15"/>
          <w:szCs w:val="15"/>
          <w:highlight w:val="none"/>
        </w:rPr>
        <w:t>，</w:t>
      </w:r>
      <w:r>
        <w:rPr>
          <w:rFonts w:hint="eastAsia"/>
          <w:sz w:val="15"/>
          <w:szCs w:val="15"/>
          <w:highlight w:val="none"/>
          <w:lang w:val="en-US" w:eastAsia="zh-CN"/>
        </w:rPr>
        <w:t>132335196903071016</w:t>
      </w:r>
      <w:r>
        <w:rPr>
          <w:rFonts w:hint="eastAsia"/>
          <w:sz w:val="15"/>
          <w:szCs w:val="15"/>
        </w:rPr>
        <w:t xml:space="preserve">  </w:t>
      </w:r>
      <w:r>
        <w:rPr>
          <w:rFonts w:hint="eastAsia"/>
          <w:sz w:val="15"/>
          <w:szCs w:val="15"/>
          <w:lang w:val="en-US" w:eastAsia="zh-CN"/>
        </w:rPr>
        <w:t>冀A73545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