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李彦青</w:t>
      </w:r>
      <w:r>
        <w:rPr>
          <w:rFonts w:hint="eastAsia"/>
          <w:sz w:val="15"/>
          <w:szCs w:val="15"/>
          <w:highlight w:val="none"/>
        </w:rPr>
        <w:t>，</w:t>
      </w:r>
      <w:r>
        <w:rPr>
          <w:rFonts w:hint="eastAsia"/>
          <w:sz w:val="15"/>
          <w:szCs w:val="15"/>
          <w:highlight w:val="none"/>
          <w:lang w:val="en-US" w:eastAsia="zh-CN"/>
        </w:rPr>
        <w:t>130524198008255037</w:t>
      </w:r>
      <w:r>
        <w:rPr>
          <w:rFonts w:hint="eastAsia"/>
          <w:sz w:val="15"/>
          <w:szCs w:val="15"/>
        </w:rPr>
        <w:t xml:space="preserve">  </w:t>
      </w:r>
      <w:r>
        <w:rPr>
          <w:rFonts w:hint="eastAsia"/>
          <w:sz w:val="15"/>
          <w:szCs w:val="15"/>
          <w:lang w:val="en-US" w:eastAsia="zh-CN"/>
        </w:rPr>
        <w:t>冀A16W16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