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李常在</w:t>
      </w:r>
      <w:r>
        <w:rPr>
          <w:rFonts w:hint="eastAsia"/>
          <w:sz w:val="15"/>
          <w:szCs w:val="15"/>
          <w:highlight w:val="none"/>
        </w:rPr>
        <w:t>，</w:t>
      </w:r>
      <w:r>
        <w:rPr>
          <w:rFonts w:hint="eastAsia"/>
          <w:sz w:val="15"/>
          <w:szCs w:val="15"/>
          <w:highlight w:val="none"/>
          <w:lang w:val="en-US" w:eastAsia="zh-CN"/>
        </w:rPr>
        <w:t>130524198605124510</w:t>
      </w:r>
      <w:r>
        <w:rPr>
          <w:rFonts w:hint="eastAsia"/>
          <w:sz w:val="15"/>
          <w:szCs w:val="15"/>
        </w:rPr>
        <w:t xml:space="preserve">  </w:t>
      </w:r>
      <w:r>
        <w:rPr>
          <w:rFonts w:hint="eastAsia"/>
          <w:sz w:val="15"/>
          <w:szCs w:val="15"/>
          <w:lang w:val="en-US" w:eastAsia="zh-CN"/>
        </w:rPr>
        <w:t>冀AZT877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