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王晓崇</w:t>
      </w:r>
      <w:r>
        <w:rPr>
          <w:rFonts w:hint="eastAsia"/>
          <w:sz w:val="15"/>
          <w:szCs w:val="15"/>
          <w:highlight w:val="none"/>
        </w:rPr>
        <w:t>，</w:t>
      </w:r>
      <w:r>
        <w:rPr>
          <w:rFonts w:hint="eastAsia"/>
          <w:sz w:val="15"/>
          <w:szCs w:val="15"/>
          <w:highlight w:val="none"/>
          <w:lang w:val="en-US" w:eastAsia="zh-CN"/>
        </w:rPr>
        <w:t>410526198912084176</w:t>
      </w:r>
      <w:r>
        <w:rPr>
          <w:rFonts w:hint="eastAsia"/>
          <w:sz w:val="15"/>
          <w:szCs w:val="15"/>
        </w:rPr>
        <w:t xml:space="preserve">  </w:t>
      </w:r>
      <w:r>
        <w:rPr>
          <w:rFonts w:hint="eastAsia"/>
          <w:sz w:val="15"/>
          <w:szCs w:val="15"/>
          <w:lang w:val="en-US" w:eastAsia="zh-CN"/>
        </w:rPr>
        <w:t>豫A5393X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