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李志华</w:t>
      </w:r>
      <w:r>
        <w:rPr>
          <w:rFonts w:hint="eastAsia"/>
          <w:sz w:val="15"/>
          <w:szCs w:val="15"/>
          <w:highlight w:val="none"/>
        </w:rPr>
        <w:t>，</w:t>
      </w:r>
      <w:r>
        <w:rPr>
          <w:rFonts w:hint="eastAsia"/>
          <w:sz w:val="15"/>
          <w:szCs w:val="15"/>
          <w:highlight w:val="none"/>
          <w:lang w:val="en-US" w:eastAsia="zh-CN"/>
        </w:rPr>
        <w:t>132302198107014418</w:t>
      </w:r>
      <w:r>
        <w:rPr>
          <w:rFonts w:hint="eastAsia"/>
          <w:sz w:val="15"/>
          <w:szCs w:val="15"/>
        </w:rPr>
        <w:t xml:space="preserve">  </w:t>
      </w:r>
      <w:r>
        <w:rPr>
          <w:rFonts w:hint="eastAsia"/>
          <w:sz w:val="15"/>
          <w:szCs w:val="15"/>
          <w:lang w:val="en-US" w:eastAsia="zh-CN"/>
        </w:rPr>
        <w:t>冀A4066X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