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徐海杰</w:t>
      </w:r>
      <w:r>
        <w:rPr>
          <w:rFonts w:hint="eastAsia"/>
          <w:sz w:val="15"/>
          <w:szCs w:val="15"/>
          <w:highlight w:val="none"/>
        </w:rPr>
        <w:t>，</w:t>
      </w:r>
      <w:r>
        <w:rPr>
          <w:rFonts w:hint="eastAsia"/>
          <w:sz w:val="15"/>
          <w:szCs w:val="15"/>
          <w:highlight w:val="none"/>
          <w:lang w:val="en-US" w:eastAsia="zh-CN"/>
        </w:rPr>
        <w:t>130126198508092730</w:t>
      </w:r>
      <w:r>
        <w:rPr>
          <w:rFonts w:hint="eastAsia"/>
          <w:sz w:val="15"/>
          <w:szCs w:val="15"/>
        </w:rPr>
        <w:t xml:space="preserve">  </w:t>
      </w:r>
      <w:r>
        <w:rPr>
          <w:rFonts w:hint="eastAsia"/>
          <w:sz w:val="15"/>
          <w:szCs w:val="15"/>
          <w:lang w:val="en-US" w:eastAsia="zh-CN"/>
        </w:rPr>
        <w:t>京A22459D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