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韩起风</w:t>
      </w:r>
      <w:r>
        <w:rPr>
          <w:rFonts w:hint="eastAsia"/>
          <w:sz w:val="15"/>
          <w:szCs w:val="15"/>
          <w:highlight w:val="none"/>
        </w:rPr>
        <w:t>，</w:t>
      </w:r>
      <w:r>
        <w:rPr>
          <w:rFonts w:hint="eastAsia"/>
          <w:sz w:val="15"/>
          <w:szCs w:val="15"/>
          <w:highlight w:val="none"/>
          <w:lang w:val="en-US" w:eastAsia="zh-CN"/>
        </w:rPr>
        <w:t>150422198608283352</w:t>
      </w:r>
      <w:r>
        <w:rPr>
          <w:rFonts w:hint="eastAsia"/>
          <w:sz w:val="15"/>
          <w:szCs w:val="15"/>
        </w:rPr>
        <w:t xml:space="preserve">  </w:t>
      </w:r>
      <w:r>
        <w:rPr>
          <w:rFonts w:hint="eastAsia"/>
          <w:sz w:val="15"/>
          <w:szCs w:val="15"/>
          <w:lang w:val="en-US" w:eastAsia="zh-CN"/>
        </w:rPr>
        <w:t>冀J6R308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