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李贤</w:t>
      </w:r>
      <w:r>
        <w:rPr>
          <w:rFonts w:hint="eastAsia"/>
          <w:sz w:val="15"/>
          <w:szCs w:val="15"/>
          <w:highlight w:val="none"/>
        </w:rPr>
        <w:t>，</w:t>
      </w:r>
      <w:r>
        <w:rPr>
          <w:rFonts w:hint="eastAsia"/>
          <w:sz w:val="15"/>
          <w:szCs w:val="15"/>
          <w:highlight w:val="none"/>
          <w:lang w:val="en-US" w:eastAsia="zh-CN"/>
        </w:rPr>
        <w:t>130131198805273619</w:t>
      </w:r>
      <w:r>
        <w:rPr>
          <w:rFonts w:hint="eastAsia"/>
          <w:sz w:val="15"/>
          <w:szCs w:val="15"/>
        </w:rPr>
        <w:t xml:space="preserve">  </w:t>
      </w:r>
      <w:r>
        <w:rPr>
          <w:rFonts w:hint="eastAsia"/>
          <w:sz w:val="15"/>
          <w:szCs w:val="15"/>
          <w:lang w:val="en-US" w:eastAsia="zh-CN"/>
        </w:rPr>
        <w:t>冀A7277Q</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