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肖雄</w:t>
      </w:r>
      <w:r>
        <w:rPr>
          <w:rFonts w:hint="eastAsia"/>
          <w:sz w:val="15"/>
          <w:szCs w:val="15"/>
          <w:highlight w:val="none"/>
        </w:rPr>
        <w:t>，</w:t>
      </w:r>
      <w:r>
        <w:rPr>
          <w:rFonts w:hint="eastAsia"/>
          <w:sz w:val="15"/>
          <w:szCs w:val="15"/>
          <w:highlight w:val="none"/>
          <w:lang w:val="en-US" w:eastAsia="zh-CN"/>
        </w:rPr>
        <w:t>14012119930508601X</w:t>
      </w:r>
      <w:r>
        <w:rPr>
          <w:rFonts w:hint="eastAsia"/>
          <w:sz w:val="15"/>
          <w:szCs w:val="15"/>
        </w:rPr>
        <w:t xml:space="preserve">  </w:t>
      </w:r>
      <w:r>
        <w:rPr>
          <w:rFonts w:hint="eastAsia"/>
          <w:sz w:val="15"/>
          <w:szCs w:val="15"/>
          <w:lang w:val="en-US" w:eastAsia="zh-CN"/>
        </w:rPr>
        <w:t>晋KX1229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