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王永丰</w:t>
      </w:r>
      <w:r>
        <w:rPr>
          <w:rFonts w:hint="eastAsia"/>
          <w:sz w:val="15"/>
          <w:szCs w:val="15"/>
          <w:highlight w:val="none"/>
        </w:rPr>
        <w:t>，</w:t>
      </w:r>
      <w:r>
        <w:rPr>
          <w:rFonts w:hint="eastAsia"/>
          <w:sz w:val="15"/>
          <w:szCs w:val="15"/>
          <w:highlight w:val="none"/>
          <w:lang w:val="en-US" w:eastAsia="zh-CN"/>
        </w:rPr>
        <w:t>130125197906047512</w:t>
      </w:r>
      <w:r>
        <w:rPr>
          <w:rFonts w:hint="eastAsia"/>
          <w:sz w:val="15"/>
          <w:szCs w:val="15"/>
        </w:rPr>
        <w:t xml:space="preserve">  </w:t>
      </w:r>
      <w:r>
        <w:rPr>
          <w:rFonts w:hint="eastAsia"/>
          <w:sz w:val="15"/>
          <w:szCs w:val="15"/>
          <w:lang w:val="en-US" w:eastAsia="zh-CN"/>
        </w:rPr>
        <w:t>冀A54W13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