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陈宝亮</w:t>
      </w:r>
      <w:r>
        <w:rPr>
          <w:rFonts w:hint="eastAsia"/>
          <w:sz w:val="15"/>
          <w:szCs w:val="15"/>
          <w:highlight w:val="none"/>
        </w:rPr>
        <w:t>，</w:t>
      </w:r>
      <w:r>
        <w:rPr>
          <w:rFonts w:hint="eastAsia"/>
          <w:sz w:val="15"/>
          <w:szCs w:val="15"/>
          <w:highlight w:val="none"/>
          <w:lang w:val="en-US" w:eastAsia="zh-CN"/>
        </w:rPr>
        <w:t>133031197302143612</w:t>
      </w:r>
      <w:r>
        <w:rPr>
          <w:rFonts w:hint="eastAsia"/>
          <w:sz w:val="15"/>
          <w:szCs w:val="15"/>
        </w:rPr>
        <w:t xml:space="preserve">  </w:t>
      </w:r>
      <w:r>
        <w:rPr>
          <w:rFonts w:hint="eastAsia"/>
          <w:sz w:val="15"/>
          <w:szCs w:val="15"/>
          <w:lang w:val="en-US" w:eastAsia="zh-CN"/>
        </w:rPr>
        <w:t>冀T76073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