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蔡满刚</w:t>
      </w:r>
      <w:r>
        <w:rPr>
          <w:rFonts w:hint="eastAsia"/>
          <w:sz w:val="15"/>
          <w:szCs w:val="15"/>
          <w:highlight w:val="none"/>
        </w:rPr>
        <w:t>，</w:t>
      </w:r>
      <w:r>
        <w:rPr>
          <w:rFonts w:hint="eastAsia"/>
          <w:sz w:val="15"/>
          <w:szCs w:val="15"/>
          <w:highlight w:val="none"/>
          <w:lang w:val="en-US" w:eastAsia="zh-CN"/>
        </w:rPr>
        <w:t>131122197411190212</w:t>
      </w:r>
      <w:r>
        <w:rPr>
          <w:rFonts w:hint="eastAsia"/>
          <w:sz w:val="15"/>
          <w:szCs w:val="15"/>
        </w:rPr>
        <w:t xml:space="preserve">  </w:t>
      </w:r>
      <w:r>
        <w:rPr>
          <w:rFonts w:hint="eastAsia"/>
          <w:sz w:val="15"/>
          <w:szCs w:val="15"/>
          <w:lang w:val="en-US" w:eastAsia="zh-CN"/>
        </w:rPr>
        <w:t>冀J9N266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