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刘传军</w:t>
      </w:r>
      <w:r>
        <w:rPr>
          <w:rFonts w:hint="eastAsia"/>
          <w:sz w:val="15"/>
          <w:szCs w:val="15"/>
          <w:highlight w:val="none"/>
        </w:rPr>
        <w:t>，</w:t>
      </w:r>
      <w:r>
        <w:rPr>
          <w:rFonts w:hint="eastAsia"/>
          <w:sz w:val="15"/>
          <w:szCs w:val="15"/>
          <w:highlight w:val="none"/>
          <w:lang w:val="en-US" w:eastAsia="zh-CN"/>
        </w:rPr>
        <w:t>130921197707083033</w:t>
      </w:r>
      <w:r>
        <w:rPr>
          <w:rFonts w:hint="eastAsia"/>
          <w:sz w:val="15"/>
          <w:szCs w:val="15"/>
        </w:rPr>
        <w:t xml:space="preserve">  </w:t>
      </w:r>
      <w:r>
        <w:rPr>
          <w:rFonts w:hint="eastAsia"/>
          <w:sz w:val="15"/>
          <w:szCs w:val="15"/>
          <w:lang w:val="en-US" w:eastAsia="zh-CN"/>
        </w:rPr>
        <w:t>冀J1G388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