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宋争光</w:t>
      </w:r>
      <w:r>
        <w:rPr>
          <w:rFonts w:hint="eastAsia"/>
          <w:sz w:val="15"/>
          <w:szCs w:val="15"/>
          <w:highlight w:val="none"/>
        </w:rPr>
        <w:t>，</w:t>
      </w:r>
      <w:r>
        <w:rPr>
          <w:rFonts w:hint="eastAsia"/>
          <w:sz w:val="15"/>
          <w:szCs w:val="15"/>
          <w:highlight w:val="none"/>
          <w:lang w:val="en-US" w:eastAsia="zh-CN"/>
        </w:rPr>
        <w:t>130125198607123532</w:t>
      </w:r>
      <w:r>
        <w:rPr>
          <w:rFonts w:hint="eastAsia"/>
          <w:sz w:val="15"/>
          <w:szCs w:val="15"/>
        </w:rPr>
        <w:t xml:space="preserve">  </w:t>
      </w:r>
      <w:r>
        <w:rPr>
          <w:rFonts w:hint="eastAsia"/>
          <w:sz w:val="15"/>
          <w:szCs w:val="15"/>
          <w:lang w:val="en-US" w:eastAsia="zh-CN"/>
        </w:rPr>
        <w:t>冀AR2104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