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李贤</w:t>
      </w:r>
      <w:r>
        <w:rPr>
          <w:rFonts w:hint="eastAsia"/>
          <w:sz w:val="15"/>
          <w:szCs w:val="15"/>
          <w:highlight w:val="none"/>
        </w:rPr>
        <w:t>，</w:t>
      </w:r>
      <w:r>
        <w:rPr>
          <w:rFonts w:hint="eastAsia"/>
          <w:sz w:val="15"/>
          <w:szCs w:val="15"/>
          <w:highlight w:val="none"/>
          <w:lang w:val="en-US" w:eastAsia="zh-CN"/>
        </w:rPr>
        <w:t>130125198204213015</w:t>
      </w:r>
      <w:r>
        <w:rPr>
          <w:rFonts w:hint="eastAsia"/>
          <w:sz w:val="15"/>
          <w:szCs w:val="15"/>
        </w:rPr>
        <w:t xml:space="preserve">  </w:t>
      </w:r>
      <w:r>
        <w:rPr>
          <w:rFonts w:hint="eastAsia"/>
          <w:sz w:val="15"/>
          <w:szCs w:val="15"/>
          <w:lang w:val="en-US" w:eastAsia="zh-CN"/>
        </w:rPr>
        <w:t>冀AQ7141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