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韩志杰</w:t>
      </w:r>
      <w:r>
        <w:rPr>
          <w:rFonts w:hint="eastAsia"/>
          <w:sz w:val="15"/>
          <w:szCs w:val="15"/>
          <w:highlight w:val="none"/>
        </w:rPr>
        <w:t>，</w:t>
      </w:r>
      <w:r>
        <w:rPr>
          <w:rFonts w:hint="eastAsia"/>
          <w:sz w:val="15"/>
          <w:szCs w:val="15"/>
          <w:highlight w:val="none"/>
          <w:lang w:val="en-US" w:eastAsia="zh-CN"/>
        </w:rPr>
        <w:t>130131198706063915</w:t>
      </w:r>
      <w:r>
        <w:rPr>
          <w:rFonts w:hint="eastAsia"/>
          <w:sz w:val="15"/>
          <w:szCs w:val="15"/>
        </w:rPr>
        <w:t xml:space="preserve">  </w:t>
      </w:r>
      <w:r>
        <w:rPr>
          <w:rFonts w:hint="eastAsia"/>
          <w:sz w:val="15"/>
          <w:szCs w:val="15"/>
          <w:lang w:val="en-US" w:eastAsia="zh-CN"/>
        </w:rPr>
        <w:t>冀A1229Y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