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李博</w:t>
      </w:r>
      <w:r>
        <w:rPr>
          <w:rFonts w:hint="eastAsia"/>
          <w:sz w:val="15"/>
          <w:szCs w:val="15"/>
          <w:highlight w:val="none"/>
        </w:rPr>
        <w:t>，</w:t>
      </w:r>
      <w:r>
        <w:rPr>
          <w:rFonts w:hint="eastAsia"/>
          <w:sz w:val="15"/>
          <w:szCs w:val="15"/>
          <w:highlight w:val="none"/>
          <w:lang w:val="en-US" w:eastAsia="zh-CN"/>
        </w:rPr>
        <w:t>131128198204153630</w:t>
      </w:r>
      <w:r>
        <w:rPr>
          <w:rFonts w:hint="eastAsia"/>
          <w:sz w:val="15"/>
          <w:szCs w:val="15"/>
        </w:rPr>
        <w:t xml:space="preserve">  </w:t>
      </w:r>
      <w:r>
        <w:rPr>
          <w:rFonts w:hint="eastAsia"/>
          <w:sz w:val="15"/>
          <w:szCs w:val="15"/>
          <w:lang w:val="en-US" w:eastAsia="zh-CN"/>
        </w:rPr>
        <w:t>冀T79203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