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李鹏鹏</w:t>
      </w:r>
      <w:r>
        <w:rPr>
          <w:rFonts w:hint="eastAsia"/>
          <w:sz w:val="15"/>
          <w:szCs w:val="15"/>
          <w:highlight w:val="none"/>
        </w:rPr>
        <w:t>，</w:t>
      </w:r>
      <w:r>
        <w:rPr>
          <w:rFonts w:hint="eastAsia"/>
          <w:sz w:val="15"/>
          <w:szCs w:val="15"/>
          <w:highlight w:val="none"/>
          <w:lang w:val="en-US" w:eastAsia="zh-CN"/>
        </w:rPr>
        <w:t>130131198407023614</w:t>
      </w:r>
      <w:r>
        <w:rPr>
          <w:rFonts w:hint="eastAsia"/>
          <w:sz w:val="15"/>
          <w:szCs w:val="15"/>
        </w:rPr>
        <w:t xml:space="preserve">  </w:t>
      </w:r>
      <w:r>
        <w:rPr>
          <w:rFonts w:hint="eastAsia"/>
          <w:sz w:val="15"/>
          <w:szCs w:val="15"/>
          <w:lang w:val="en-US" w:eastAsia="zh-CN"/>
        </w:rPr>
        <w:t>冀A36082D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