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赵广胜</w:t>
      </w:r>
      <w:r>
        <w:rPr>
          <w:rFonts w:hint="eastAsia"/>
          <w:sz w:val="15"/>
          <w:szCs w:val="15"/>
          <w:highlight w:val="none"/>
        </w:rPr>
        <w:t>，</w:t>
      </w:r>
      <w:r>
        <w:rPr>
          <w:rFonts w:hint="eastAsia"/>
          <w:sz w:val="15"/>
          <w:szCs w:val="15"/>
          <w:highlight w:val="none"/>
          <w:lang w:val="en-US" w:eastAsia="zh-CN"/>
        </w:rPr>
        <w:t>37232419770814323X</w:t>
      </w:r>
      <w:r>
        <w:rPr>
          <w:rFonts w:hint="eastAsia"/>
          <w:sz w:val="15"/>
          <w:szCs w:val="15"/>
        </w:rPr>
        <w:t xml:space="preserve">  </w:t>
      </w:r>
      <w:r>
        <w:rPr>
          <w:rFonts w:hint="eastAsia"/>
          <w:sz w:val="15"/>
          <w:szCs w:val="15"/>
          <w:lang w:val="en-US" w:eastAsia="zh-CN"/>
        </w:rPr>
        <w:t>冀J1R325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