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刘连立</w:t>
      </w:r>
      <w:r>
        <w:rPr>
          <w:rFonts w:hint="eastAsia"/>
          <w:sz w:val="15"/>
          <w:szCs w:val="15"/>
          <w:highlight w:val="none"/>
        </w:rPr>
        <w:t>，</w:t>
      </w:r>
      <w:r>
        <w:rPr>
          <w:rFonts w:hint="eastAsia"/>
          <w:sz w:val="15"/>
          <w:szCs w:val="15"/>
          <w:highlight w:val="none"/>
          <w:lang w:val="en-US" w:eastAsia="zh-CN"/>
        </w:rPr>
        <w:t>130922197508190035</w:t>
      </w:r>
      <w:r>
        <w:rPr>
          <w:rFonts w:hint="eastAsia"/>
          <w:sz w:val="15"/>
          <w:szCs w:val="15"/>
        </w:rPr>
        <w:t xml:space="preserve">  </w:t>
      </w:r>
      <w:r>
        <w:rPr>
          <w:rFonts w:hint="eastAsia"/>
          <w:sz w:val="15"/>
          <w:szCs w:val="15"/>
          <w:lang w:val="en-US" w:eastAsia="zh-CN"/>
        </w:rPr>
        <w:t>冀J9L375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