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王一杰</w:t>
      </w:r>
      <w:r>
        <w:rPr>
          <w:rFonts w:hint="eastAsia"/>
          <w:sz w:val="15"/>
          <w:szCs w:val="15"/>
          <w:highlight w:val="none"/>
        </w:rPr>
        <w:t>，</w:t>
      </w:r>
      <w:r>
        <w:rPr>
          <w:rFonts w:hint="eastAsia"/>
          <w:sz w:val="15"/>
          <w:szCs w:val="15"/>
          <w:highlight w:val="none"/>
          <w:lang w:val="en-US" w:eastAsia="zh-CN"/>
        </w:rPr>
        <w:t>130131198807150612</w:t>
      </w:r>
      <w:r>
        <w:rPr>
          <w:rFonts w:hint="eastAsia"/>
          <w:sz w:val="15"/>
          <w:szCs w:val="15"/>
        </w:rPr>
        <w:t xml:space="preserve">  </w:t>
      </w:r>
      <w:r>
        <w:rPr>
          <w:rFonts w:hint="eastAsia"/>
          <w:sz w:val="15"/>
          <w:szCs w:val="15"/>
          <w:lang w:val="en-US" w:eastAsia="zh-CN"/>
        </w:rPr>
        <w:t>冀A04448D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