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吴海旺</w:t>
      </w:r>
      <w:r>
        <w:rPr>
          <w:rFonts w:hint="eastAsia"/>
          <w:sz w:val="15"/>
          <w:szCs w:val="15"/>
          <w:highlight w:val="none"/>
        </w:rPr>
        <w:t>，</w:t>
      </w:r>
      <w:r>
        <w:rPr>
          <w:rFonts w:hint="eastAsia"/>
          <w:sz w:val="15"/>
          <w:szCs w:val="15"/>
          <w:highlight w:val="none"/>
          <w:lang w:val="en-US" w:eastAsia="zh-CN"/>
        </w:rPr>
        <w:t>130924197604224218</w:t>
      </w:r>
      <w:r>
        <w:rPr>
          <w:rFonts w:hint="eastAsia"/>
          <w:sz w:val="15"/>
          <w:szCs w:val="15"/>
        </w:rPr>
        <w:t xml:space="preserve">  </w:t>
      </w:r>
      <w:r>
        <w:rPr>
          <w:rFonts w:hint="eastAsia"/>
          <w:sz w:val="15"/>
          <w:szCs w:val="15"/>
          <w:lang w:val="en-US" w:eastAsia="zh-CN"/>
        </w:rPr>
        <w:t>冀J6E133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