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张震华</w:t>
      </w:r>
      <w:r>
        <w:rPr>
          <w:rFonts w:hint="eastAsia"/>
          <w:sz w:val="15"/>
          <w:szCs w:val="15"/>
          <w:highlight w:val="none"/>
        </w:rPr>
        <w:t>，</w:t>
      </w:r>
      <w:r>
        <w:rPr>
          <w:rFonts w:hint="eastAsia"/>
          <w:sz w:val="15"/>
          <w:szCs w:val="15"/>
          <w:highlight w:val="none"/>
          <w:lang w:val="en-US" w:eastAsia="zh-CN"/>
        </w:rPr>
        <w:t>132335198101141173</w:t>
      </w:r>
      <w:r>
        <w:rPr>
          <w:rFonts w:hint="eastAsia"/>
          <w:sz w:val="15"/>
          <w:szCs w:val="15"/>
        </w:rPr>
        <w:t xml:space="preserve">  </w:t>
      </w:r>
      <w:r>
        <w:rPr>
          <w:rFonts w:hint="eastAsia"/>
          <w:sz w:val="15"/>
          <w:szCs w:val="15"/>
          <w:lang w:val="en-US" w:eastAsia="zh-CN"/>
        </w:rPr>
        <w:t>冀AKF498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