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武明龙</w:t>
      </w:r>
      <w:r>
        <w:rPr>
          <w:rFonts w:hint="eastAsia"/>
          <w:sz w:val="15"/>
          <w:szCs w:val="15"/>
          <w:highlight w:val="none"/>
        </w:rPr>
        <w:t>，</w:t>
      </w:r>
      <w:r>
        <w:rPr>
          <w:rFonts w:hint="eastAsia"/>
          <w:sz w:val="15"/>
          <w:szCs w:val="15"/>
          <w:highlight w:val="none"/>
          <w:lang w:val="en-US" w:eastAsia="zh-CN"/>
        </w:rPr>
        <w:t>13013119861127121X</w:t>
      </w:r>
      <w:r>
        <w:rPr>
          <w:rFonts w:hint="eastAsia"/>
          <w:sz w:val="15"/>
          <w:szCs w:val="15"/>
        </w:rPr>
        <w:t xml:space="preserve">  </w:t>
      </w:r>
      <w:r>
        <w:rPr>
          <w:rFonts w:hint="eastAsia"/>
          <w:sz w:val="15"/>
          <w:szCs w:val="15"/>
          <w:lang w:val="en-US" w:eastAsia="zh-CN"/>
        </w:rPr>
        <w:t>沪A82867D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