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许新亮</w:t>
      </w:r>
      <w:r>
        <w:rPr>
          <w:rFonts w:hint="eastAsia"/>
          <w:sz w:val="15"/>
          <w:szCs w:val="15"/>
          <w:highlight w:val="none"/>
        </w:rPr>
        <w:t>，</w:t>
      </w:r>
      <w:r>
        <w:rPr>
          <w:rFonts w:hint="eastAsia"/>
          <w:sz w:val="15"/>
          <w:szCs w:val="15"/>
          <w:highlight w:val="none"/>
          <w:lang w:val="en-US" w:eastAsia="zh-CN"/>
        </w:rPr>
        <w:t>130983198912272419</w:t>
      </w:r>
      <w:r>
        <w:rPr>
          <w:rFonts w:hint="eastAsia"/>
          <w:sz w:val="15"/>
          <w:szCs w:val="15"/>
        </w:rPr>
        <w:t xml:space="preserve">  </w:t>
      </w:r>
      <w:r>
        <w:rPr>
          <w:rFonts w:hint="eastAsia"/>
          <w:sz w:val="15"/>
          <w:szCs w:val="15"/>
          <w:lang w:val="en-US" w:eastAsia="zh-CN"/>
        </w:rPr>
        <w:t>冀J5U013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