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滕坤举</w:t>
      </w:r>
      <w:r>
        <w:rPr>
          <w:rFonts w:hint="eastAsia"/>
          <w:sz w:val="15"/>
          <w:szCs w:val="15"/>
          <w:highlight w:val="none"/>
        </w:rPr>
        <w:t>，</w:t>
      </w:r>
      <w:r>
        <w:rPr>
          <w:rFonts w:hint="eastAsia"/>
          <w:sz w:val="15"/>
          <w:szCs w:val="15"/>
          <w:highlight w:val="none"/>
          <w:lang w:val="en-US" w:eastAsia="zh-CN"/>
        </w:rPr>
        <w:t>130983198502142435</w:t>
      </w:r>
      <w:r>
        <w:rPr>
          <w:rFonts w:hint="eastAsia"/>
          <w:sz w:val="15"/>
          <w:szCs w:val="15"/>
        </w:rPr>
        <w:t xml:space="preserve">  </w:t>
      </w:r>
      <w:r>
        <w:rPr>
          <w:rFonts w:hint="eastAsia"/>
          <w:sz w:val="15"/>
          <w:szCs w:val="15"/>
          <w:lang w:val="en-US" w:eastAsia="zh-CN"/>
        </w:rPr>
        <w:t>冀J7A288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