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杨宝狮</w:t>
      </w:r>
      <w:r>
        <w:rPr>
          <w:rFonts w:hint="eastAsia"/>
          <w:sz w:val="15"/>
          <w:szCs w:val="15"/>
          <w:highlight w:val="none"/>
        </w:rPr>
        <w:t>，</w:t>
      </w:r>
      <w:r>
        <w:rPr>
          <w:rFonts w:hint="eastAsia"/>
          <w:sz w:val="15"/>
          <w:szCs w:val="15"/>
          <w:highlight w:val="none"/>
          <w:lang w:val="en-US" w:eastAsia="zh-CN"/>
        </w:rPr>
        <w:t>130131198502073011</w:t>
      </w:r>
      <w:r>
        <w:rPr>
          <w:rFonts w:hint="eastAsia"/>
          <w:sz w:val="15"/>
          <w:szCs w:val="15"/>
        </w:rPr>
        <w:t xml:space="preserve">  </w:t>
      </w:r>
      <w:r>
        <w:rPr>
          <w:rFonts w:hint="eastAsia"/>
          <w:sz w:val="15"/>
          <w:szCs w:val="15"/>
          <w:lang w:val="en-US" w:eastAsia="zh-CN"/>
        </w:rPr>
        <w:t>冀A42028D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