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戎海豹</w:t>
      </w:r>
      <w:r>
        <w:rPr>
          <w:rFonts w:hint="eastAsia"/>
          <w:sz w:val="15"/>
          <w:szCs w:val="15"/>
          <w:highlight w:val="none"/>
        </w:rPr>
        <w:t>，</w:t>
      </w:r>
      <w:r>
        <w:rPr>
          <w:rFonts w:hint="eastAsia"/>
          <w:sz w:val="15"/>
          <w:szCs w:val="15"/>
          <w:highlight w:val="none"/>
          <w:lang w:val="en-US" w:eastAsia="zh-CN"/>
        </w:rPr>
        <w:t>142223198207193618</w:t>
      </w:r>
      <w:r>
        <w:rPr>
          <w:rFonts w:hint="eastAsia"/>
          <w:sz w:val="15"/>
          <w:szCs w:val="15"/>
        </w:rPr>
        <w:t xml:space="preserve">  </w:t>
      </w:r>
      <w:r>
        <w:rPr>
          <w:rFonts w:hint="eastAsia"/>
          <w:sz w:val="15"/>
          <w:szCs w:val="15"/>
          <w:lang w:val="en-US" w:eastAsia="zh-CN"/>
        </w:rPr>
        <w:t>晋HC4605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