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1898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何雨龙</w:t>
      </w:r>
      <w:r>
        <w:rPr>
          <w:rFonts w:hint="eastAsia"/>
          <w:sz w:val="15"/>
          <w:szCs w:val="15"/>
          <w:highlight w:val="none"/>
        </w:rPr>
        <w:t>，</w:t>
      </w:r>
      <w:r>
        <w:rPr>
          <w:rFonts w:hint="eastAsia"/>
          <w:sz w:val="15"/>
          <w:szCs w:val="15"/>
          <w:highlight w:val="none"/>
          <w:lang w:val="en-US" w:eastAsia="zh-CN"/>
        </w:rPr>
        <w:t>13012119880623263X</w:t>
      </w:r>
      <w:r>
        <w:rPr>
          <w:rFonts w:hint="eastAsia"/>
          <w:sz w:val="15"/>
          <w:szCs w:val="15"/>
        </w:rPr>
        <w:t xml:space="preserve">  </w:t>
      </w:r>
      <w:r>
        <w:rPr>
          <w:rFonts w:hint="eastAsia"/>
          <w:sz w:val="15"/>
          <w:szCs w:val="15"/>
          <w:lang w:val="en-US" w:eastAsia="zh-CN"/>
        </w:rPr>
        <w:t>冀A355M6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