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杨军</w:t>
      </w:r>
      <w:r>
        <w:rPr>
          <w:rFonts w:hint="eastAsia"/>
          <w:sz w:val="15"/>
          <w:szCs w:val="15"/>
          <w:highlight w:val="none"/>
        </w:rPr>
        <w:t>，</w:t>
      </w:r>
      <w:r>
        <w:rPr>
          <w:rFonts w:hint="eastAsia"/>
          <w:sz w:val="15"/>
          <w:szCs w:val="15"/>
          <w:highlight w:val="none"/>
          <w:lang w:val="en-US" w:eastAsia="zh-CN"/>
        </w:rPr>
        <w:t>211224198707166310</w:t>
      </w:r>
      <w:r>
        <w:rPr>
          <w:rFonts w:hint="eastAsia"/>
          <w:sz w:val="15"/>
          <w:szCs w:val="15"/>
        </w:rPr>
        <w:t xml:space="preserve">  </w:t>
      </w:r>
      <w:r>
        <w:rPr>
          <w:rFonts w:hint="eastAsia"/>
          <w:sz w:val="15"/>
          <w:szCs w:val="15"/>
          <w:lang w:val="en-US" w:eastAsia="zh-CN"/>
        </w:rPr>
        <w:t>冀FY2506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