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袁建荣</w:t>
      </w:r>
      <w:r>
        <w:rPr>
          <w:rFonts w:hint="eastAsia"/>
          <w:sz w:val="15"/>
          <w:szCs w:val="15"/>
          <w:highlight w:val="none"/>
        </w:rPr>
        <w:t>，</w:t>
      </w:r>
      <w:r>
        <w:rPr>
          <w:rFonts w:hint="eastAsia"/>
          <w:sz w:val="15"/>
          <w:szCs w:val="15"/>
          <w:highlight w:val="none"/>
          <w:lang w:val="en-US" w:eastAsia="zh-CN"/>
        </w:rPr>
        <w:t>130126198908213028</w:t>
      </w:r>
      <w:r>
        <w:rPr>
          <w:rFonts w:hint="eastAsia"/>
          <w:sz w:val="15"/>
          <w:szCs w:val="15"/>
        </w:rPr>
        <w:t xml:space="preserve">  </w:t>
      </w:r>
      <w:r>
        <w:rPr>
          <w:rFonts w:hint="eastAsia"/>
          <w:sz w:val="15"/>
          <w:szCs w:val="15"/>
          <w:lang w:val="en-US" w:eastAsia="zh-CN"/>
        </w:rPr>
        <w:t>冀A02957D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