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韩伟丽</w:t>
      </w:r>
      <w:r>
        <w:rPr>
          <w:rFonts w:hint="eastAsia"/>
          <w:sz w:val="15"/>
          <w:szCs w:val="15"/>
          <w:highlight w:val="none"/>
        </w:rPr>
        <w:t>，</w:t>
      </w:r>
      <w:r>
        <w:rPr>
          <w:rFonts w:hint="eastAsia"/>
          <w:sz w:val="15"/>
          <w:szCs w:val="15"/>
          <w:highlight w:val="none"/>
          <w:lang w:val="en-US" w:eastAsia="zh-CN"/>
        </w:rPr>
        <w:t>130123196410292728</w:t>
      </w:r>
      <w:r>
        <w:rPr>
          <w:rFonts w:hint="eastAsia"/>
          <w:sz w:val="15"/>
          <w:szCs w:val="15"/>
        </w:rPr>
        <w:t xml:space="preserve">  </w:t>
      </w:r>
      <w:r>
        <w:rPr>
          <w:rFonts w:hint="eastAsia"/>
          <w:sz w:val="15"/>
          <w:szCs w:val="15"/>
          <w:lang w:val="en-US" w:eastAsia="zh-CN"/>
        </w:rPr>
        <w:t>冀AU7349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