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1881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赵丽英</w:t>
      </w:r>
      <w:r>
        <w:rPr>
          <w:rFonts w:hint="eastAsia"/>
          <w:sz w:val="15"/>
          <w:szCs w:val="15"/>
          <w:highlight w:val="none"/>
        </w:rPr>
        <w:t>，</w:t>
      </w:r>
      <w:r>
        <w:rPr>
          <w:rFonts w:hint="eastAsia"/>
          <w:sz w:val="15"/>
          <w:szCs w:val="15"/>
          <w:highlight w:val="none"/>
          <w:lang w:val="en-US" w:eastAsia="zh-CN"/>
        </w:rPr>
        <w:t>130131198704244229</w:t>
      </w:r>
      <w:r>
        <w:rPr>
          <w:rFonts w:hint="eastAsia"/>
          <w:sz w:val="15"/>
          <w:szCs w:val="15"/>
        </w:rPr>
        <w:t xml:space="preserve">  </w:t>
      </w:r>
      <w:r>
        <w:rPr>
          <w:rFonts w:hint="eastAsia"/>
          <w:sz w:val="15"/>
          <w:szCs w:val="15"/>
          <w:lang w:val="en-US" w:eastAsia="zh-CN"/>
        </w:rPr>
        <w:t>冀AX9481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