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孙勇军</w:t>
      </w:r>
      <w:r>
        <w:rPr>
          <w:rFonts w:hint="eastAsia"/>
          <w:sz w:val="15"/>
          <w:szCs w:val="15"/>
          <w:highlight w:val="none"/>
        </w:rPr>
        <w:t>，</w:t>
      </w:r>
      <w:r>
        <w:rPr>
          <w:rFonts w:hint="eastAsia"/>
          <w:sz w:val="15"/>
          <w:szCs w:val="15"/>
          <w:highlight w:val="none"/>
          <w:lang w:val="en-US" w:eastAsia="zh-CN"/>
        </w:rPr>
        <w:t>132428197303082818</w:t>
      </w:r>
      <w:r>
        <w:rPr>
          <w:rFonts w:hint="eastAsia"/>
          <w:sz w:val="15"/>
          <w:szCs w:val="15"/>
        </w:rPr>
        <w:t xml:space="preserve">  </w:t>
      </w:r>
      <w:r>
        <w:rPr>
          <w:rFonts w:hint="eastAsia"/>
          <w:sz w:val="15"/>
          <w:szCs w:val="15"/>
          <w:lang w:val="en-US" w:eastAsia="zh-CN"/>
        </w:rPr>
        <w:t>冀FU6238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