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周建刚</w:t>
      </w:r>
      <w:r>
        <w:rPr>
          <w:rFonts w:hint="eastAsia"/>
          <w:sz w:val="15"/>
          <w:szCs w:val="15"/>
          <w:highlight w:val="none"/>
        </w:rPr>
        <w:t>，</w:t>
      </w:r>
      <w:r>
        <w:rPr>
          <w:rFonts w:hint="eastAsia"/>
          <w:sz w:val="15"/>
          <w:szCs w:val="15"/>
          <w:highlight w:val="none"/>
          <w:lang w:val="en-US" w:eastAsia="zh-CN"/>
        </w:rPr>
        <w:t>13013119830319091X</w:t>
      </w:r>
      <w:r>
        <w:rPr>
          <w:rFonts w:hint="eastAsia"/>
          <w:sz w:val="15"/>
          <w:szCs w:val="15"/>
        </w:rPr>
        <w:t xml:space="preserve">  </w:t>
      </w:r>
      <w:r>
        <w:rPr>
          <w:rFonts w:hint="eastAsia"/>
          <w:sz w:val="15"/>
          <w:szCs w:val="15"/>
          <w:lang w:val="en-US" w:eastAsia="zh-CN"/>
        </w:rPr>
        <w:t>冀A08676D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