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1848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齐国艳</w:t>
      </w:r>
      <w:r>
        <w:rPr>
          <w:rFonts w:hint="eastAsia"/>
          <w:sz w:val="15"/>
          <w:szCs w:val="15"/>
          <w:highlight w:val="none"/>
        </w:rPr>
        <w:t>，</w:t>
      </w:r>
      <w:r>
        <w:rPr>
          <w:rFonts w:hint="eastAsia"/>
          <w:sz w:val="15"/>
          <w:szCs w:val="15"/>
          <w:highlight w:val="none"/>
          <w:lang w:val="en-US" w:eastAsia="zh-CN"/>
        </w:rPr>
        <w:t>132335198009170019</w:t>
      </w:r>
      <w:r>
        <w:rPr>
          <w:rFonts w:hint="eastAsia"/>
          <w:sz w:val="15"/>
          <w:szCs w:val="15"/>
        </w:rPr>
        <w:t xml:space="preserve">  </w:t>
      </w:r>
      <w:r>
        <w:rPr>
          <w:rFonts w:hint="eastAsia"/>
          <w:sz w:val="15"/>
          <w:szCs w:val="15"/>
          <w:lang w:val="en-US" w:eastAsia="zh-CN"/>
        </w:rPr>
        <w:t>冀A794AE</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